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B1" w:rsidRPr="000C0860" w:rsidRDefault="00401C5D" w:rsidP="00401C5D">
      <w:pPr>
        <w:spacing w:line="360" w:lineRule="auto"/>
        <w:jc w:val="center"/>
        <w:rPr>
          <w:b/>
          <w:sz w:val="26"/>
          <w:szCs w:val="26"/>
        </w:rPr>
      </w:pPr>
      <w:bookmarkStart w:id="0" w:name="_GoBack"/>
      <w:bookmarkEnd w:id="0"/>
      <w:r w:rsidRPr="000C0860">
        <w:rPr>
          <w:b/>
          <w:sz w:val="26"/>
          <w:szCs w:val="26"/>
        </w:rPr>
        <w:t>PHỤ LỤC 1</w:t>
      </w:r>
    </w:p>
    <w:p w:rsidR="00AB3D35" w:rsidRPr="000C0860" w:rsidRDefault="00401C5D" w:rsidP="00401C5D">
      <w:pPr>
        <w:spacing w:line="360" w:lineRule="auto"/>
        <w:jc w:val="center"/>
        <w:rPr>
          <w:i/>
          <w:sz w:val="26"/>
          <w:szCs w:val="26"/>
        </w:rPr>
      </w:pPr>
      <w:r w:rsidRPr="000C0860">
        <w:rPr>
          <w:i/>
          <w:sz w:val="26"/>
          <w:szCs w:val="26"/>
        </w:rPr>
        <w:t xml:space="preserve">(Kèm theo Thư mời ngày </w:t>
      </w:r>
      <w:r w:rsidR="000C0860">
        <w:rPr>
          <w:i/>
          <w:sz w:val="26"/>
          <w:szCs w:val="26"/>
        </w:rPr>
        <w:t>16</w:t>
      </w:r>
      <w:r w:rsidRPr="000C0860">
        <w:rPr>
          <w:i/>
          <w:sz w:val="26"/>
          <w:szCs w:val="26"/>
        </w:rPr>
        <w:t>/5/2022 của Bệnh viện Sản Nhi Quảng Ninh)</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900"/>
        <w:gridCol w:w="5271"/>
        <w:gridCol w:w="850"/>
        <w:gridCol w:w="851"/>
      </w:tblGrid>
      <w:tr w:rsidR="00AB3D35" w:rsidRPr="00AB3D35" w:rsidTr="000C0860">
        <w:trPr>
          <w:trHeight w:val="465"/>
        </w:trPr>
        <w:tc>
          <w:tcPr>
            <w:tcW w:w="760" w:type="dxa"/>
            <w:vMerge w:val="restart"/>
            <w:shd w:val="clear" w:color="auto" w:fill="auto"/>
            <w:vAlign w:val="center"/>
            <w:hideMark/>
          </w:tcPr>
          <w:p w:rsidR="00AB3D35" w:rsidRPr="00AB3D35" w:rsidRDefault="00AB3D35" w:rsidP="00AB3D35">
            <w:pPr>
              <w:jc w:val="center"/>
              <w:rPr>
                <w:b/>
                <w:bCs/>
                <w:sz w:val="22"/>
                <w:szCs w:val="22"/>
                <w:lang w:val="vi-VN" w:eastAsia="vi-VN"/>
              </w:rPr>
            </w:pPr>
            <w:r w:rsidRPr="00AB3D35">
              <w:rPr>
                <w:b/>
                <w:bCs/>
                <w:sz w:val="22"/>
                <w:szCs w:val="22"/>
                <w:lang w:val="vi-VN" w:eastAsia="vi-VN"/>
              </w:rPr>
              <w:t>STT</w:t>
            </w:r>
          </w:p>
        </w:tc>
        <w:tc>
          <w:tcPr>
            <w:tcW w:w="2900" w:type="dxa"/>
            <w:vMerge w:val="restart"/>
            <w:shd w:val="clear" w:color="auto" w:fill="auto"/>
            <w:vAlign w:val="center"/>
            <w:hideMark/>
          </w:tcPr>
          <w:p w:rsidR="00AB3D35" w:rsidRPr="00AB3D35" w:rsidRDefault="00AB3D35" w:rsidP="00AB3D35">
            <w:pPr>
              <w:jc w:val="center"/>
              <w:rPr>
                <w:b/>
                <w:bCs/>
                <w:sz w:val="22"/>
                <w:szCs w:val="22"/>
                <w:lang w:val="vi-VN" w:eastAsia="vi-VN"/>
              </w:rPr>
            </w:pPr>
            <w:r w:rsidRPr="00AB3D35">
              <w:rPr>
                <w:b/>
                <w:bCs/>
                <w:sz w:val="22"/>
                <w:szCs w:val="22"/>
                <w:lang w:val="vi-VN" w:eastAsia="vi-VN"/>
              </w:rPr>
              <w:t>Tên hàng hóa</w:t>
            </w:r>
          </w:p>
        </w:tc>
        <w:tc>
          <w:tcPr>
            <w:tcW w:w="5271" w:type="dxa"/>
            <w:vMerge w:val="restart"/>
            <w:shd w:val="clear" w:color="auto" w:fill="auto"/>
            <w:vAlign w:val="center"/>
            <w:hideMark/>
          </w:tcPr>
          <w:p w:rsidR="00AB3D35" w:rsidRPr="00AB3D35" w:rsidRDefault="00AB3D35" w:rsidP="00AB3D35">
            <w:pPr>
              <w:jc w:val="center"/>
              <w:rPr>
                <w:b/>
                <w:bCs/>
                <w:sz w:val="22"/>
                <w:szCs w:val="22"/>
                <w:lang w:val="vi-VN" w:eastAsia="vi-VN"/>
              </w:rPr>
            </w:pPr>
            <w:r w:rsidRPr="00AB3D35">
              <w:rPr>
                <w:b/>
                <w:bCs/>
                <w:sz w:val="22"/>
                <w:szCs w:val="22"/>
                <w:lang w:val="vi-VN" w:eastAsia="vi-VN"/>
              </w:rPr>
              <w:t>Tiêu chí kỹ thuật cơ bản</w:t>
            </w:r>
          </w:p>
        </w:tc>
        <w:tc>
          <w:tcPr>
            <w:tcW w:w="850" w:type="dxa"/>
            <w:vMerge w:val="restart"/>
            <w:shd w:val="clear" w:color="auto" w:fill="auto"/>
            <w:vAlign w:val="center"/>
            <w:hideMark/>
          </w:tcPr>
          <w:p w:rsidR="00AB3D35" w:rsidRPr="00AB3D35" w:rsidRDefault="00AB3D35" w:rsidP="00AB3D35">
            <w:pPr>
              <w:jc w:val="center"/>
              <w:rPr>
                <w:b/>
                <w:bCs/>
                <w:color w:val="000000"/>
                <w:sz w:val="22"/>
                <w:szCs w:val="22"/>
                <w:lang w:val="vi-VN" w:eastAsia="vi-VN"/>
              </w:rPr>
            </w:pPr>
            <w:r w:rsidRPr="00AB3D35">
              <w:rPr>
                <w:b/>
                <w:bCs/>
                <w:color w:val="000000"/>
                <w:sz w:val="22"/>
                <w:szCs w:val="22"/>
                <w:lang w:val="vi-VN" w:eastAsia="vi-VN"/>
              </w:rPr>
              <w:t>Đơn vị tính</w:t>
            </w:r>
          </w:p>
        </w:tc>
        <w:tc>
          <w:tcPr>
            <w:tcW w:w="851" w:type="dxa"/>
            <w:vMerge w:val="restart"/>
            <w:shd w:val="clear" w:color="auto" w:fill="auto"/>
            <w:vAlign w:val="center"/>
            <w:hideMark/>
          </w:tcPr>
          <w:p w:rsidR="00AB3D35" w:rsidRPr="00AB3D35" w:rsidRDefault="00AB3D35" w:rsidP="00AB3D35">
            <w:pPr>
              <w:jc w:val="center"/>
              <w:rPr>
                <w:b/>
                <w:bCs/>
                <w:color w:val="000000"/>
                <w:sz w:val="22"/>
                <w:szCs w:val="22"/>
                <w:lang w:val="vi-VN" w:eastAsia="vi-VN"/>
              </w:rPr>
            </w:pPr>
            <w:r w:rsidRPr="00AB3D35">
              <w:rPr>
                <w:b/>
                <w:bCs/>
                <w:color w:val="000000"/>
                <w:sz w:val="22"/>
                <w:szCs w:val="22"/>
                <w:lang w:val="vi-VN" w:eastAsia="vi-VN"/>
              </w:rPr>
              <w:t>Số lượng</w:t>
            </w:r>
          </w:p>
        </w:tc>
      </w:tr>
      <w:tr w:rsidR="00AB3D35" w:rsidRPr="00AB3D35" w:rsidTr="000C0860">
        <w:trPr>
          <w:trHeight w:val="270"/>
        </w:trPr>
        <w:tc>
          <w:tcPr>
            <w:tcW w:w="760" w:type="dxa"/>
            <w:vMerge/>
            <w:vAlign w:val="center"/>
            <w:hideMark/>
          </w:tcPr>
          <w:p w:rsidR="00AB3D35" w:rsidRPr="00AB3D35" w:rsidRDefault="00AB3D35" w:rsidP="00AB3D35">
            <w:pPr>
              <w:rPr>
                <w:b/>
                <w:bCs/>
                <w:sz w:val="20"/>
                <w:szCs w:val="20"/>
                <w:lang w:val="vi-VN" w:eastAsia="vi-VN"/>
              </w:rPr>
            </w:pPr>
          </w:p>
        </w:tc>
        <w:tc>
          <w:tcPr>
            <w:tcW w:w="2900" w:type="dxa"/>
            <w:vMerge/>
            <w:vAlign w:val="center"/>
            <w:hideMark/>
          </w:tcPr>
          <w:p w:rsidR="00AB3D35" w:rsidRPr="00AB3D35" w:rsidRDefault="00AB3D35" w:rsidP="00AB3D35">
            <w:pPr>
              <w:rPr>
                <w:b/>
                <w:bCs/>
                <w:sz w:val="20"/>
                <w:szCs w:val="20"/>
                <w:lang w:val="vi-VN" w:eastAsia="vi-VN"/>
              </w:rPr>
            </w:pPr>
          </w:p>
        </w:tc>
        <w:tc>
          <w:tcPr>
            <w:tcW w:w="5271" w:type="dxa"/>
            <w:vMerge/>
            <w:vAlign w:val="center"/>
            <w:hideMark/>
          </w:tcPr>
          <w:p w:rsidR="00AB3D35" w:rsidRPr="00AB3D35" w:rsidRDefault="00AB3D35" w:rsidP="00AB3D35">
            <w:pPr>
              <w:rPr>
                <w:b/>
                <w:bCs/>
                <w:sz w:val="20"/>
                <w:szCs w:val="20"/>
                <w:lang w:val="vi-VN" w:eastAsia="vi-VN"/>
              </w:rPr>
            </w:pPr>
          </w:p>
        </w:tc>
        <w:tc>
          <w:tcPr>
            <w:tcW w:w="850" w:type="dxa"/>
            <w:vMerge/>
            <w:vAlign w:val="center"/>
            <w:hideMark/>
          </w:tcPr>
          <w:p w:rsidR="00AB3D35" w:rsidRPr="00AB3D35" w:rsidRDefault="00AB3D35" w:rsidP="00AB3D35">
            <w:pPr>
              <w:rPr>
                <w:b/>
                <w:bCs/>
                <w:color w:val="000000"/>
                <w:sz w:val="20"/>
                <w:szCs w:val="20"/>
                <w:lang w:val="vi-VN" w:eastAsia="vi-VN"/>
              </w:rPr>
            </w:pPr>
          </w:p>
        </w:tc>
        <w:tc>
          <w:tcPr>
            <w:tcW w:w="851" w:type="dxa"/>
            <w:vMerge/>
            <w:vAlign w:val="center"/>
            <w:hideMark/>
          </w:tcPr>
          <w:p w:rsidR="00AB3D35" w:rsidRPr="00AB3D35" w:rsidRDefault="00AB3D35" w:rsidP="00AB3D35">
            <w:pPr>
              <w:rPr>
                <w:b/>
                <w:bCs/>
                <w:color w:val="000000"/>
                <w:sz w:val="20"/>
                <w:szCs w:val="20"/>
                <w:lang w:val="vi-VN" w:eastAsia="vi-VN"/>
              </w:rPr>
            </w:pPr>
          </w:p>
        </w:tc>
      </w:tr>
      <w:tr w:rsidR="00AB3D35" w:rsidRPr="00AB3D35" w:rsidTr="000C0860">
        <w:trPr>
          <w:trHeight w:val="904"/>
        </w:trPr>
        <w:tc>
          <w:tcPr>
            <w:tcW w:w="760" w:type="dxa"/>
            <w:shd w:val="clear" w:color="auto" w:fill="auto"/>
            <w:noWrap/>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1</w:t>
            </w:r>
          </w:p>
        </w:tc>
        <w:tc>
          <w:tcPr>
            <w:tcW w:w="2900"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 xml:space="preserve">Đĩa phản ứng 96 giếng cho giải trình tự gen </w:t>
            </w:r>
          </w:p>
        </w:tc>
        <w:tc>
          <w:tcPr>
            <w:tcW w:w="5271"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Được làm từ polypropylene ở định dạng 96 giếng, 0.2ml. Giảm thiểu sự nhiễu tín hiệu huỳnh quang giữa các giếng. Quy cách: Hộp ≥ 10 đĩa</w:t>
            </w:r>
          </w:p>
        </w:tc>
        <w:tc>
          <w:tcPr>
            <w:tcW w:w="850"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Hộp</w:t>
            </w:r>
          </w:p>
        </w:tc>
        <w:tc>
          <w:tcPr>
            <w:tcW w:w="851"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8</w:t>
            </w:r>
          </w:p>
        </w:tc>
      </w:tr>
      <w:tr w:rsidR="00AB3D35" w:rsidRPr="00AB3D35" w:rsidTr="000C0860">
        <w:trPr>
          <w:trHeight w:val="765"/>
        </w:trPr>
        <w:tc>
          <w:tcPr>
            <w:tcW w:w="760" w:type="dxa"/>
            <w:shd w:val="clear" w:color="auto" w:fill="auto"/>
            <w:noWrap/>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2</w:t>
            </w:r>
          </w:p>
        </w:tc>
        <w:tc>
          <w:tcPr>
            <w:tcW w:w="2900"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 xml:space="preserve">Tấm đậy Cathode Buffer cho máy giải trình tự gen </w:t>
            </w:r>
          </w:p>
        </w:tc>
        <w:tc>
          <w:tcPr>
            <w:tcW w:w="5271"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Dùng để đậy Cathode Buffer cho máy SeqStudio. Bao gồm 2 loại tấm đậy tương thích với 2 ngăn của Cathode Buffer Container. Quy cách: Hộp ≥ 20 tấm</w:t>
            </w:r>
          </w:p>
        </w:tc>
        <w:tc>
          <w:tcPr>
            <w:tcW w:w="850"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Hộp</w:t>
            </w:r>
          </w:p>
        </w:tc>
        <w:tc>
          <w:tcPr>
            <w:tcW w:w="851"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1</w:t>
            </w:r>
          </w:p>
        </w:tc>
      </w:tr>
      <w:tr w:rsidR="00AB3D35" w:rsidRPr="00AB3D35" w:rsidTr="000C0860">
        <w:trPr>
          <w:trHeight w:val="1325"/>
        </w:trPr>
        <w:tc>
          <w:tcPr>
            <w:tcW w:w="760" w:type="dxa"/>
            <w:shd w:val="clear" w:color="auto" w:fill="auto"/>
            <w:noWrap/>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3</w:t>
            </w:r>
          </w:p>
        </w:tc>
        <w:tc>
          <w:tcPr>
            <w:tcW w:w="2900"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Kit chứa các đoạn DNA đánh dấu huỳnh quang màu ROX</w:t>
            </w:r>
          </w:p>
        </w:tc>
        <w:tc>
          <w:tcPr>
            <w:tcW w:w="5271"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Chứa các đoạn DNA đánh dấu huỳnh quang màu ROX. Được thiết kế để xác định các đoạn DNA trong dải kích thước 35-500bp. Bao gồm 16 đoạn DNA có kích thước 35, 50, 75, 100, 139, 150, 160, 200, 250, 300, 340, 350, 400, 450, 490, và 500 bases. Quy cách: Kit ≥ 800 phản ứng</w:t>
            </w:r>
          </w:p>
        </w:tc>
        <w:tc>
          <w:tcPr>
            <w:tcW w:w="850"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Kit</w:t>
            </w:r>
          </w:p>
        </w:tc>
        <w:tc>
          <w:tcPr>
            <w:tcW w:w="851"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1</w:t>
            </w:r>
          </w:p>
        </w:tc>
      </w:tr>
      <w:tr w:rsidR="00AB3D35" w:rsidRPr="00AB3D35" w:rsidTr="000C0860">
        <w:trPr>
          <w:trHeight w:val="1274"/>
        </w:trPr>
        <w:tc>
          <w:tcPr>
            <w:tcW w:w="760" w:type="dxa"/>
            <w:shd w:val="clear" w:color="auto" w:fill="auto"/>
            <w:noWrap/>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4</w:t>
            </w:r>
          </w:p>
        </w:tc>
        <w:tc>
          <w:tcPr>
            <w:tcW w:w="2900"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 xml:space="preserve">Kit chứa các đoạn DNA đánh dấu huỳnh quang màu LIZ </w:t>
            </w:r>
          </w:p>
        </w:tc>
        <w:tc>
          <w:tcPr>
            <w:tcW w:w="5271"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Chứa các đoạn DNA đánh dấu huỳnh quang màu LIZ. Được thiết kế để xác định các đoạn DNA trong dải kích thước 35-500bp. Bao gồm 16 đoạn DNA mạch đơn có kích thước 35, 50, 75, 100, 139, 150, 160, 200, 250, 300, 340, 350, 400, 450, 490 và 500 nucleotides. Kit ≥ 800 phản ứng</w:t>
            </w:r>
          </w:p>
        </w:tc>
        <w:tc>
          <w:tcPr>
            <w:tcW w:w="850"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Kit</w:t>
            </w:r>
          </w:p>
        </w:tc>
        <w:tc>
          <w:tcPr>
            <w:tcW w:w="851"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1</w:t>
            </w:r>
          </w:p>
        </w:tc>
      </w:tr>
      <w:tr w:rsidR="00AB3D35" w:rsidRPr="00AB3D35" w:rsidTr="000C0860">
        <w:trPr>
          <w:trHeight w:val="980"/>
        </w:trPr>
        <w:tc>
          <w:tcPr>
            <w:tcW w:w="760" w:type="dxa"/>
            <w:shd w:val="clear" w:color="auto" w:fill="auto"/>
            <w:noWrap/>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5</w:t>
            </w:r>
          </w:p>
        </w:tc>
        <w:tc>
          <w:tcPr>
            <w:tcW w:w="2900"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Dung dịch hoàn nguyên mẫu giải trình tự trước khi điện di mao quản</w:t>
            </w:r>
          </w:p>
        </w:tc>
        <w:tc>
          <w:tcPr>
            <w:tcW w:w="5271"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Công thức Formamide khử ion cao với một chất ổn định. Được sử dụng để hoàn nguyên mẫu giải trình tự trước khi điện di mao quản. Quy cách: Lọ ≥ 25ml</w:t>
            </w:r>
          </w:p>
        </w:tc>
        <w:tc>
          <w:tcPr>
            <w:tcW w:w="850"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Lọ</w:t>
            </w:r>
          </w:p>
        </w:tc>
        <w:tc>
          <w:tcPr>
            <w:tcW w:w="851"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4</w:t>
            </w:r>
          </w:p>
        </w:tc>
      </w:tr>
      <w:tr w:rsidR="00AB3D35" w:rsidRPr="00AB3D35" w:rsidTr="000C0860">
        <w:trPr>
          <w:trHeight w:val="981"/>
        </w:trPr>
        <w:tc>
          <w:tcPr>
            <w:tcW w:w="760" w:type="dxa"/>
            <w:shd w:val="clear" w:color="auto" w:fill="auto"/>
            <w:noWrap/>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6</w:t>
            </w:r>
          </w:p>
        </w:tc>
        <w:tc>
          <w:tcPr>
            <w:tcW w:w="2900"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 xml:space="preserve">Cartridge giải trình tự gen </w:t>
            </w:r>
          </w:p>
        </w:tc>
        <w:tc>
          <w:tcPr>
            <w:tcW w:w="5271"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Tích hợp sẵn gel, điện cực dương, mao quản và bơm trên cùng một cartridge. Mao quản có chiều dài 28cm. Sử dụng cho 125 lần bơm điện di. Quy cách: Bộ ≥ 500 mẫu</w:t>
            </w:r>
          </w:p>
        </w:tc>
        <w:tc>
          <w:tcPr>
            <w:tcW w:w="850"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Bộ</w:t>
            </w:r>
          </w:p>
        </w:tc>
        <w:tc>
          <w:tcPr>
            <w:tcW w:w="851"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5</w:t>
            </w:r>
          </w:p>
        </w:tc>
      </w:tr>
      <w:tr w:rsidR="00AB3D35" w:rsidRPr="00AB3D35" w:rsidTr="000C0860">
        <w:trPr>
          <w:trHeight w:val="1122"/>
        </w:trPr>
        <w:tc>
          <w:tcPr>
            <w:tcW w:w="760" w:type="dxa"/>
            <w:shd w:val="clear" w:color="auto" w:fill="auto"/>
            <w:noWrap/>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7</w:t>
            </w:r>
          </w:p>
        </w:tc>
        <w:tc>
          <w:tcPr>
            <w:tcW w:w="2900"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Cathode Buffer Container cho máy giải trình tự gen</w:t>
            </w:r>
          </w:p>
        </w:tc>
        <w:tc>
          <w:tcPr>
            <w:tcW w:w="5271"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Hỗ trợ cho các ứng dụng giải trình tự và phân tích đoạn. Gồm 2 ngăn: một ngăn chứa đệm cực dương dùng để điện di; một ngăn chứa dung dịch rửa đầu mao quản. Quy cách: Hộp ≥ 01 bộ</w:t>
            </w:r>
          </w:p>
        </w:tc>
        <w:tc>
          <w:tcPr>
            <w:tcW w:w="850"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Hộp</w:t>
            </w:r>
          </w:p>
        </w:tc>
        <w:tc>
          <w:tcPr>
            <w:tcW w:w="851"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6</w:t>
            </w:r>
          </w:p>
        </w:tc>
      </w:tr>
      <w:tr w:rsidR="00AB3D35" w:rsidRPr="00AB3D35" w:rsidTr="000C0860">
        <w:trPr>
          <w:trHeight w:val="840"/>
        </w:trPr>
        <w:tc>
          <w:tcPr>
            <w:tcW w:w="760" w:type="dxa"/>
            <w:shd w:val="clear" w:color="auto" w:fill="auto"/>
            <w:noWrap/>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8</w:t>
            </w:r>
          </w:p>
        </w:tc>
        <w:tc>
          <w:tcPr>
            <w:tcW w:w="2900"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Enzyme sử dụng loại bỏ prime thừa sau phản ứng</w:t>
            </w:r>
          </w:p>
        </w:tc>
        <w:tc>
          <w:tcPr>
            <w:tcW w:w="5271"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Được sử dụng loại bỏ các prime thừa sau phản ứng và các sợi DNA đơn.Làm suy giảm DNA sợi đơn theo hướng 3 '→ 5'. Quy cách Ống ≥ 4000 đơn vị</w:t>
            </w:r>
          </w:p>
        </w:tc>
        <w:tc>
          <w:tcPr>
            <w:tcW w:w="850"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Ống</w:t>
            </w:r>
          </w:p>
        </w:tc>
        <w:tc>
          <w:tcPr>
            <w:tcW w:w="851"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1</w:t>
            </w:r>
          </w:p>
        </w:tc>
      </w:tr>
      <w:tr w:rsidR="00AB3D35" w:rsidRPr="00AB3D35" w:rsidTr="000C0860">
        <w:trPr>
          <w:trHeight w:val="697"/>
        </w:trPr>
        <w:tc>
          <w:tcPr>
            <w:tcW w:w="760" w:type="dxa"/>
            <w:shd w:val="clear" w:color="auto" w:fill="auto"/>
            <w:noWrap/>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9</w:t>
            </w:r>
          </w:p>
        </w:tc>
        <w:tc>
          <w:tcPr>
            <w:tcW w:w="2900"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Shrimp alkaline phosphatase</w:t>
            </w:r>
          </w:p>
        </w:tc>
        <w:tc>
          <w:tcPr>
            <w:tcW w:w="5271"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Độ đặc hiệu cao, hoạt động trực tiếp trong nhiều môi trường buffer khác nhau. Bất hoạt nhiệt 100% trong 15 phút ở 65 ° C</w:t>
            </w:r>
          </w:p>
        </w:tc>
        <w:tc>
          <w:tcPr>
            <w:tcW w:w="850"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Ống</w:t>
            </w:r>
          </w:p>
        </w:tc>
        <w:tc>
          <w:tcPr>
            <w:tcW w:w="851" w:type="dxa"/>
            <w:shd w:val="clear" w:color="auto" w:fill="auto"/>
            <w:vAlign w:val="center"/>
            <w:hideMark/>
          </w:tcPr>
          <w:p w:rsidR="00AB3D35" w:rsidRPr="00AB3D35" w:rsidRDefault="00AB3D35" w:rsidP="00AB3D35">
            <w:pPr>
              <w:jc w:val="center"/>
              <w:rPr>
                <w:sz w:val="20"/>
                <w:szCs w:val="20"/>
                <w:lang w:val="vi-VN" w:eastAsia="vi-VN"/>
              </w:rPr>
            </w:pPr>
            <w:r w:rsidRPr="00AB3D35">
              <w:rPr>
                <w:sz w:val="20"/>
                <w:szCs w:val="20"/>
                <w:lang w:val="vi-VN" w:eastAsia="vi-VN"/>
              </w:rPr>
              <w:t>1</w:t>
            </w:r>
          </w:p>
        </w:tc>
      </w:tr>
      <w:tr w:rsidR="00AB3D35" w:rsidRPr="00AB3D35" w:rsidTr="000C0860">
        <w:trPr>
          <w:trHeight w:val="565"/>
        </w:trPr>
        <w:tc>
          <w:tcPr>
            <w:tcW w:w="760" w:type="dxa"/>
            <w:shd w:val="clear" w:color="auto" w:fill="auto"/>
            <w:noWrap/>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10</w:t>
            </w:r>
          </w:p>
        </w:tc>
        <w:tc>
          <w:tcPr>
            <w:tcW w:w="2900"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Kit sàng lọc và xác nhận các SNPs</w:t>
            </w:r>
          </w:p>
        </w:tc>
        <w:tc>
          <w:tcPr>
            <w:tcW w:w="5271"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Khả năng Multiplex lên tới 10 SNPs. Được sử dụng để sàng lọc và xác nhận các SNPs, đánh giá quá trình methyl hóa.</w:t>
            </w:r>
          </w:p>
        </w:tc>
        <w:tc>
          <w:tcPr>
            <w:tcW w:w="850"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Kit</w:t>
            </w:r>
          </w:p>
        </w:tc>
        <w:tc>
          <w:tcPr>
            <w:tcW w:w="851" w:type="dxa"/>
            <w:shd w:val="clear" w:color="auto" w:fill="auto"/>
            <w:noWrap/>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1</w:t>
            </w:r>
          </w:p>
        </w:tc>
      </w:tr>
      <w:tr w:rsidR="00AB3D35" w:rsidRPr="00AB3D35" w:rsidTr="000C0860">
        <w:trPr>
          <w:trHeight w:val="701"/>
        </w:trPr>
        <w:tc>
          <w:tcPr>
            <w:tcW w:w="760" w:type="dxa"/>
            <w:shd w:val="clear" w:color="auto" w:fill="auto"/>
            <w:noWrap/>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11</w:t>
            </w:r>
          </w:p>
        </w:tc>
        <w:tc>
          <w:tcPr>
            <w:tcW w:w="2900"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 xml:space="preserve">Bảo quản đầu mao quản </w:t>
            </w:r>
          </w:p>
        </w:tc>
        <w:tc>
          <w:tcPr>
            <w:tcW w:w="5271"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Được sử dụng để bảo quản đầu mao quản. Chỉ sử dụng một lần.</w:t>
            </w:r>
          </w:p>
        </w:tc>
        <w:tc>
          <w:tcPr>
            <w:tcW w:w="850"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Hộp</w:t>
            </w:r>
          </w:p>
        </w:tc>
        <w:tc>
          <w:tcPr>
            <w:tcW w:w="851" w:type="dxa"/>
            <w:shd w:val="clear" w:color="auto" w:fill="auto"/>
            <w:noWrap/>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4</w:t>
            </w:r>
          </w:p>
        </w:tc>
      </w:tr>
      <w:tr w:rsidR="00AB3D35" w:rsidRPr="00AB3D35" w:rsidTr="000C0860">
        <w:trPr>
          <w:trHeight w:val="695"/>
        </w:trPr>
        <w:tc>
          <w:tcPr>
            <w:tcW w:w="760" w:type="dxa"/>
            <w:shd w:val="clear" w:color="auto" w:fill="auto"/>
            <w:noWrap/>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12</w:t>
            </w:r>
          </w:p>
        </w:tc>
        <w:tc>
          <w:tcPr>
            <w:tcW w:w="2900"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 xml:space="preserve">Tấm đậy đĩa 96 giếng cho giải trình tự gen </w:t>
            </w:r>
          </w:p>
        </w:tc>
        <w:tc>
          <w:tcPr>
            <w:tcW w:w="5271"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 xml:space="preserve"> Được sử dụng để đậy đĩa 96 giếng.</w:t>
            </w:r>
          </w:p>
        </w:tc>
        <w:tc>
          <w:tcPr>
            <w:tcW w:w="850"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Hộp</w:t>
            </w:r>
          </w:p>
        </w:tc>
        <w:tc>
          <w:tcPr>
            <w:tcW w:w="851" w:type="dxa"/>
            <w:shd w:val="clear" w:color="auto" w:fill="auto"/>
            <w:noWrap/>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5</w:t>
            </w:r>
          </w:p>
        </w:tc>
      </w:tr>
      <w:tr w:rsidR="00AB3D35" w:rsidRPr="00AB3D35" w:rsidTr="000C0860">
        <w:trPr>
          <w:trHeight w:val="765"/>
        </w:trPr>
        <w:tc>
          <w:tcPr>
            <w:tcW w:w="760" w:type="dxa"/>
            <w:shd w:val="clear" w:color="auto" w:fill="auto"/>
            <w:noWrap/>
            <w:vAlign w:val="center"/>
            <w:hideMark/>
          </w:tcPr>
          <w:p w:rsidR="00AB3D35" w:rsidRPr="00FE626D" w:rsidRDefault="00FE626D" w:rsidP="00AB3D35">
            <w:pPr>
              <w:jc w:val="center"/>
              <w:rPr>
                <w:color w:val="000000"/>
                <w:sz w:val="20"/>
                <w:szCs w:val="20"/>
                <w:lang w:eastAsia="vi-VN"/>
              </w:rPr>
            </w:pPr>
            <w:r>
              <w:rPr>
                <w:color w:val="000000"/>
                <w:sz w:val="20"/>
                <w:szCs w:val="20"/>
                <w:lang w:eastAsia="vi-VN"/>
              </w:rPr>
              <w:t>13</w:t>
            </w:r>
          </w:p>
        </w:tc>
        <w:tc>
          <w:tcPr>
            <w:tcW w:w="2900"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 xml:space="preserve">Bộ sinh phẩm giải trình tự gen theo nguyên lý Sanger </w:t>
            </w:r>
          </w:p>
        </w:tc>
        <w:tc>
          <w:tcPr>
            <w:tcW w:w="5271"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Thành phần bao gồm BigDye Terminator v3.1 Ready Reaction Mix, M13 (-21) Primer,  pGEM Control DNA và 5X Sequencing Buffer. H8Sử dụng cho các thiết bị giải trình tự gen nguyên lý Sanger</w:t>
            </w:r>
          </w:p>
        </w:tc>
        <w:tc>
          <w:tcPr>
            <w:tcW w:w="850"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Hộp</w:t>
            </w:r>
          </w:p>
        </w:tc>
        <w:tc>
          <w:tcPr>
            <w:tcW w:w="851"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6</w:t>
            </w:r>
          </w:p>
        </w:tc>
      </w:tr>
      <w:tr w:rsidR="00AB3D35" w:rsidRPr="00AB3D35" w:rsidTr="000C0860">
        <w:trPr>
          <w:trHeight w:val="556"/>
        </w:trPr>
        <w:tc>
          <w:tcPr>
            <w:tcW w:w="760" w:type="dxa"/>
            <w:shd w:val="clear" w:color="auto" w:fill="auto"/>
            <w:noWrap/>
            <w:vAlign w:val="center"/>
            <w:hideMark/>
          </w:tcPr>
          <w:p w:rsidR="00AB3D35" w:rsidRPr="00FE626D" w:rsidRDefault="00FE626D" w:rsidP="00AB3D35">
            <w:pPr>
              <w:jc w:val="center"/>
              <w:rPr>
                <w:color w:val="000000"/>
                <w:sz w:val="20"/>
                <w:szCs w:val="20"/>
                <w:lang w:eastAsia="vi-VN"/>
              </w:rPr>
            </w:pPr>
            <w:r>
              <w:rPr>
                <w:color w:val="000000"/>
                <w:sz w:val="20"/>
                <w:szCs w:val="20"/>
                <w:lang w:eastAsia="vi-VN"/>
              </w:rPr>
              <w:t>14</w:t>
            </w:r>
          </w:p>
        </w:tc>
        <w:tc>
          <w:tcPr>
            <w:tcW w:w="2900"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 xml:space="preserve">Bộ tinh lọc cho các phản ứng giải trình tự DNA </w:t>
            </w:r>
          </w:p>
        </w:tc>
        <w:tc>
          <w:tcPr>
            <w:tcW w:w="5271"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 xml:space="preserve">Thành phần gồm Xterminator Solution và SAM Solution. Sử dụng cho các thiết bị giải trình tự gen nguyên lý Sanger </w:t>
            </w:r>
          </w:p>
        </w:tc>
        <w:tc>
          <w:tcPr>
            <w:tcW w:w="850"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Hộp</w:t>
            </w:r>
          </w:p>
        </w:tc>
        <w:tc>
          <w:tcPr>
            <w:tcW w:w="851"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4</w:t>
            </w:r>
          </w:p>
        </w:tc>
      </w:tr>
      <w:tr w:rsidR="00AB3D35" w:rsidRPr="00AB3D35" w:rsidTr="000C0860">
        <w:trPr>
          <w:trHeight w:val="1031"/>
        </w:trPr>
        <w:tc>
          <w:tcPr>
            <w:tcW w:w="760" w:type="dxa"/>
            <w:shd w:val="clear" w:color="auto" w:fill="auto"/>
            <w:noWrap/>
            <w:vAlign w:val="center"/>
            <w:hideMark/>
          </w:tcPr>
          <w:p w:rsidR="00AB3D35" w:rsidRPr="00FE626D" w:rsidRDefault="00FE626D" w:rsidP="00AB3D35">
            <w:pPr>
              <w:jc w:val="center"/>
              <w:rPr>
                <w:color w:val="000000"/>
                <w:sz w:val="20"/>
                <w:szCs w:val="20"/>
                <w:lang w:eastAsia="vi-VN"/>
              </w:rPr>
            </w:pPr>
            <w:r>
              <w:rPr>
                <w:color w:val="000000"/>
                <w:sz w:val="20"/>
                <w:szCs w:val="20"/>
                <w:lang w:eastAsia="vi-VN"/>
              </w:rPr>
              <w:lastRenderedPageBreak/>
              <w:t>15</w:t>
            </w:r>
          </w:p>
        </w:tc>
        <w:tc>
          <w:tcPr>
            <w:tcW w:w="2900"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DNA đánh dấu huỳnh quang</w:t>
            </w:r>
          </w:p>
        </w:tc>
        <w:tc>
          <w:tcPr>
            <w:tcW w:w="5271"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Chứa các đoạn DNA đánh dấu huỳnh quang màu LIZ. Được thiết kế để xác định các đoạn DNA trong dải kích thước 15-120 bp. Bao gồm 9 đoạn DNA có kích thước 15, 20, 25, 35, 50, 62, 80, 110 và 120 base</w:t>
            </w:r>
          </w:p>
        </w:tc>
        <w:tc>
          <w:tcPr>
            <w:tcW w:w="850"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Hộp</w:t>
            </w:r>
          </w:p>
        </w:tc>
        <w:tc>
          <w:tcPr>
            <w:tcW w:w="851"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1</w:t>
            </w:r>
          </w:p>
        </w:tc>
      </w:tr>
      <w:tr w:rsidR="00AB3D35" w:rsidRPr="00AB3D35" w:rsidTr="000C0860">
        <w:trPr>
          <w:trHeight w:val="804"/>
        </w:trPr>
        <w:tc>
          <w:tcPr>
            <w:tcW w:w="760" w:type="dxa"/>
            <w:shd w:val="clear" w:color="auto" w:fill="auto"/>
            <w:noWrap/>
            <w:vAlign w:val="center"/>
            <w:hideMark/>
          </w:tcPr>
          <w:p w:rsidR="00AB3D35" w:rsidRPr="00FE626D" w:rsidRDefault="00FE626D" w:rsidP="00AB3D35">
            <w:pPr>
              <w:jc w:val="center"/>
              <w:rPr>
                <w:color w:val="000000"/>
                <w:sz w:val="20"/>
                <w:szCs w:val="20"/>
                <w:lang w:eastAsia="vi-VN"/>
              </w:rPr>
            </w:pPr>
            <w:r>
              <w:rPr>
                <w:color w:val="000000"/>
                <w:sz w:val="20"/>
                <w:szCs w:val="20"/>
                <w:lang w:eastAsia="vi-VN"/>
              </w:rPr>
              <w:t>16</w:t>
            </w:r>
          </w:p>
        </w:tc>
        <w:tc>
          <w:tcPr>
            <w:tcW w:w="2900"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Bộ kit tinh sạch sản phẩm PCR bằng enzyme</w:t>
            </w:r>
          </w:p>
        </w:tc>
        <w:tc>
          <w:tcPr>
            <w:tcW w:w="5271"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Bộ kit tinh sạch sản phẩm PCR bằng enzyme, thủy phân primer và nucleotide dư chỉ trong một bước. Phù hợp với ứng dụng giải trình tự DNA hoặc phân tích SNP</w:t>
            </w:r>
          </w:p>
        </w:tc>
        <w:tc>
          <w:tcPr>
            <w:tcW w:w="850"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Hộp</w:t>
            </w:r>
          </w:p>
        </w:tc>
        <w:tc>
          <w:tcPr>
            <w:tcW w:w="851"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4</w:t>
            </w:r>
          </w:p>
        </w:tc>
      </w:tr>
      <w:tr w:rsidR="00AB3D35" w:rsidRPr="00AB3D35" w:rsidTr="000C0860">
        <w:trPr>
          <w:trHeight w:val="547"/>
        </w:trPr>
        <w:tc>
          <w:tcPr>
            <w:tcW w:w="760" w:type="dxa"/>
            <w:shd w:val="clear" w:color="auto" w:fill="auto"/>
            <w:noWrap/>
            <w:vAlign w:val="center"/>
            <w:hideMark/>
          </w:tcPr>
          <w:p w:rsidR="00AB3D35" w:rsidRPr="00FE626D" w:rsidRDefault="00FE626D" w:rsidP="00AB3D35">
            <w:pPr>
              <w:jc w:val="center"/>
              <w:rPr>
                <w:color w:val="000000"/>
                <w:sz w:val="20"/>
                <w:szCs w:val="20"/>
                <w:lang w:eastAsia="vi-VN"/>
              </w:rPr>
            </w:pPr>
            <w:r>
              <w:rPr>
                <w:color w:val="000000"/>
                <w:sz w:val="20"/>
                <w:szCs w:val="20"/>
                <w:lang w:eastAsia="vi-VN"/>
              </w:rPr>
              <w:t>17</w:t>
            </w:r>
          </w:p>
        </w:tc>
        <w:tc>
          <w:tcPr>
            <w:tcW w:w="2900"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Hóa chất chẩn đoán bệnh teo cơ tủy</w:t>
            </w:r>
          </w:p>
        </w:tc>
        <w:tc>
          <w:tcPr>
            <w:tcW w:w="5271" w:type="dxa"/>
            <w:shd w:val="clear" w:color="auto" w:fill="auto"/>
            <w:vAlign w:val="center"/>
            <w:hideMark/>
          </w:tcPr>
          <w:p w:rsidR="00AB3D35" w:rsidRPr="00AB3D35" w:rsidRDefault="00AB3D35" w:rsidP="00AB3D35">
            <w:pPr>
              <w:rPr>
                <w:sz w:val="20"/>
                <w:szCs w:val="20"/>
                <w:lang w:val="vi-VN" w:eastAsia="vi-VN"/>
              </w:rPr>
            </w:pPr>
            <w:r w:rsidRPr="00AB3D35">
              <w:rPr>
                <w:sz w:val="20"/>
                <w:szCs w:val="20"/>
                <w:lang w:val="vi-VN" w:eastAsia="vi-VN"/>
              </w:rPr>
              <w:t>Sử dụng kỹ thuật đa PCR khuếch đại DNA bộ gen và điện di mao mạch</w:t>
            </w:r>
          </w:p>
        </w:tc>
        <w:tc>
          <w:tcPr>
            <w:tcW w:w="850"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Kit</w:t>
            </w:r>
          </w:p>
        </w:tc>
        <w:tc>
          <w:tcPr>
            <w:tcW w:w="851" w:type="dxa"/>
            <w:shd w:val="clear" w:color="auto" w:fill="auto"/>
            <w:vAlign w:val="center"/>
            <w:hideMark/>
          </w:tcPr>
          <w:p w:rsidR="00AB3D35" w:rsidRPr="00AB3D35" w:rsidRDefault="00AB3D35" w:rsidP="00AB3D35">
            <w:pPr>
              <w:jc w:val="center"/>
              <w:rPr>
                <w:color w:val="000000"/>
                <w:sz w:val="20"/>
                <w:szCs w:val="20"/>
                <w:lang w:val="vi-VN" w:eastAsia="vi-VN"/>
              </w:rPr>
            </w:pPr>
            <w:r w:rsidRPr="00AB3D35">
              <w:rPr>
                <w:color w:val="000000"/>
                <w:sz w:val="20"/>
                <w:szCs w:val="20"/>
                <w:lang w:val="vi-VN" w:eastAsia="vi-VN"/>
              </w:rPr>
              <w:t>1</w:t>
            </w:r>
          </w:p>
        </w:tc>
      </w:tr>
    </w:tbl>
    <w:p w:rsidR="00401C5D" w:rsidRPr="00401C5D" w:rsidRDefault="00401C5D" w:rsidP="00401C5D">
      <w:pPr>
        <w:spacing w:line="360" w:lineRule="auto"/>
        <w:jc w:val="center"/>
        <w:rPr>
          <w:i/>
          <w:sz w:val="28"/>
          <w:szCs w:val="28"/>
        </w:rPr>
      </w:pPr>
      <w:r w:rsidRPr="00401C5D">
        <w:rPr>
          <w:i/>
          <w:sz w:val="28"/>
          <w:szCs w:val="28"/>
        </w:rPr>
        <w:tab/>
      </w:r>
    </w:p>
    <w:p w:rsidR="00230484" w:rsidRDefault="00230484" w:rsidP="00401C5D">
      <w:pPr>
        <w:spacing w:line="360" w:lineRule="auto"/>
        <w:jc w:val="center"/>
        <w:rPr>
          <w:b/>
          <w:sz w:val="28"/>
          <w:szCs w:val="28"/>
        </w:rPr>
        <w:sectPr w:rsidR="00230484" w:rsidSect="00F506EF">
          <w:pgSz w:w="11907" w:h="16840" w:code="9"/>
          <w:pgMar w:top="1134" w:right="1134" w:bottom="1134" w:left="1701" w:header="720" w:footer="720" w:gutter="0"/>
          <w:cols w:space="720"/>
          <w:docGrid w:linePitch="360"/>
        </w:sectPr>
      </w:pPr>
    </w:p>
    <w:p w:rsidR="00401C5D" w:rsidRDefault="00230484" w:rsidP="00230484">
      <w:pPr>
        <w:spacing w:line="360" w:lineRule="auto"/>
        <w:rPr>
          <w:b/>
          <w:sz w:val="28"/>
          <w:szCs w:val="28"/>
        </w:rPr>
      </w:pPr>
      <w:proofErr w:type="gramStart"/>
      <w:r>
        <w:rPr>
          <w:b/>
          <w:sz w:val="28"/>
          <w:szCs w:val="28"/>
        </w:rPr>
        <w:lastRenderedPageBreak/>
        <w:t>Email:…</w:t>
      </w:r>
      <w:proofErr w:type="gramEnd"/>
      <w:r>
        <w:rPr>
          <w:b/>
          <w:sz w:val="28"/>
          <w:szCs w:val="28"/>
        </w:rPr>
        <w:t>…………………………………………….</w:t>
      </w:r>
    </w:p>
    <w:p w:rsidR="00230484" w:rsidRDefault="00230484" w:rsidP="00230484">
      <w:pPr>
        <w:spacing w:line="360" w:lineRule="auto"/>
        <w:jc w:val="center"/>
        <w:rPr>
          <w:b/>
          <w:sz w:val="28"/>
          <w:szCs w:val="28"/>
        </w:rPr>
      </w:pPr>
      <w:r>
        <w:rPr>
          <w:b/>
          <w:sz w:val="28"/>
          <w:szCs w:val="28"/>
        </w:rPr>
        <w:t>PHỤ LỤC 2</w:t>
      </w:r>
    </w:p>
    <w:p w:rsidR="00230484" w:rsidRDefault="00230484" w:rsidP="00230484">
      <w:pPr>
        <w:spacing w:line="360" w:lineRule="auto"/>
        <w:jc w:val="center"/>
        <w:rPr>
          <w:b/>
          <w:sz w:val="28"/>
          <w:szCs w:val="28"/>
        </w:rPr>
      </w:pPr>
      <w:r>
        <w:rPr>
          <w:b/>
          <w:sz w:val="28"/>
          <w:szCs w:val="28"/>
        </w:rPr>
        <w:t>BÁO GIÁ TRANG THIẾT BỊ, HÓA CHẤT, SINH PHẨM Y TẾ</w:t>
      </w:r>
    </w:p>
    <w:p w:rsidR="00230484" w:rsidRDefault="00230484" w:rsidP="00230484">
      <w:pPr>
        <w:tabs>
          <w:tab w:val="left" w:pos="12474"/>
        </w:tabs>
        <w:spacing w:line="360" w:lineRule="auto"/>
        <w:rPr>
          <w:sz w:val="28"/>
          <w:szCs w:val="28"/>
        </w:rPr>
      </w:pPr>
      <w:r w:rsidRPr="00230484">
        <w:rPr>
          <w:sz w:val="28"/>
          <w:szCs w:val="28"/>
        </w:rPr>
        <w:t>Công ty xin gửi tới quý cơ quan/đơn vị thông tin của các mặt hàng công ty có thể cung cấp như sau:</w:t>
      </w:r>
      <w:r>
        <w:rPr>
          <w:sz w:val="28"/>
          <w:szCs w:val="28"/>
        </w:rPr>
        <w:tab/>
        <w:t>Đơn vị tính: VNĐ</w:t>
      </w:r>
    </w:p>
    <w:tbl>
      <w:tblPr>
        <w:tblW w:w="15876" w:type="dxa"/>
        <w:tblInd w:w="-572" w:type="dxa"/>
        <w:tblLook w:val="04A0" w:firstRow="1" w:lastRow="0" w:firstColumn="1" w:lastColumn="0" w:noHBand="0" w:noVBand="1"/>
      </w:tblPr>
      <w:tblGrid>
        <w:gridCol w:w="695"/>
        <w:gridCol w:w="990"/>
        <w:gridCol w:w="583"/>
        <w:gridCol w:w="954"/>
        <w:gridCol w:w="747"/>
        <w:gridCol w:w="951"/>
        <w:gridCol w:w="609"/>
        <w:gridCol w:w="623"/>
        <w:gridCol w:w="739"/>
        <w:gridCol w:w="779"/>
        <w:gridCol w:w="678"/>
        <w:gridCol w:w="724"/>
        <w:gridCol w:w="952"/>
        <w:gridCol w:w="896"/>
        <w:gridCol w:w="741"/>
        <w:gridCol w:w="951"/>
        <w:gridCol w:w="951"/>
        <w:gridCol w:w="951"/>
        <w:gridCol w:w="654"/>
        <w:gridCol w:w="708"/>
      </w:tblGrid>
      <w:tr w:rsidR="00230484" w:rsidRPr="00230484" w:rsidTr="00230484">
        <w:trPr>
          <w:trHeight w:val="300"/>
        </w:trPr>
        <w:tc>
          <w:tcPr>
            <w:tcW w:w="6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STT</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Mã hàng hóa dùng chung theo quy định của BYT(thông tư 04)</w:t>
            </w:r>
          </w:p>
        </w:tc>
        <w:tc>
          <w:tcPr>
            <w:tcW w:w="5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Tên hàng hóa</w:t>
            </w:r>
          </w:p>
        </w:tc>
        <w:tc>
          <w:tcPr>
            <w:tcW w:w="9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Tên Thương mại, Ký mã hiệu hàng hóa</w:t>
            </w:r>
          </w:p>
        </w:tc>
        <w:tc>
          <w:tcPr>
            <w:tcW w:w="7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Thông số kĩ thuật cơ bản</w:t>
            </w:r>
          </w:p>
        </w:tc>
        <w:tc>
          <w:tcPr>
            <w:tcW w:w="9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Số đăng ký  lưu hành hoặc số giấy phép nhập khẩu.</w:t>
            </w:r>
          </w:p>
        </w:tc>
        <w:tc>
          <w:tcPr>
            <w:tcW w:w="6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Quy cách đóng gói</w:t>
            </w:r>
          </w:p>
        </w:tc>
        <w:tc>
          <w:tcPr>
            <w:tcW w:w="6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Đơn vị tính</w:t>
            </w:r>
          </w:p>
        </w:tc>
        <w:tc>
          <w:tcPr>
            <w:tcW w:w="7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Đơn giá (VAT)</w:t>
            </w:r>
          </w:p>
        </w:tc>
        <w:tc>
          <w:tcPr>
            <w:tcW w:w="7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Hãng chủ sở hữu</w:t>
            </w:r>
          </w:p>
        </w:tc>
        <w:tc>
          <w:tcPr>
            <w:tcW w:w="67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Hãng sản xuất</w:t>
            </w:r>
          </w:p>
        </w:tc>
        <w:tc>
          <w:tcPr>
            <w:tcW w:w="7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Nước sản xuất</w:t>
            </w:r>
          </w:p>
        </w:tc>
        <w:tc>
          <w:tcPr>
            <w:tcW w:w="9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Nước cấp giấy chứng nhận lưu hành tự do</w:t>
            </w:r>
          </w:p>
        </w:tc>
        <w:tc>
          <w:tcPr>
            <w:tcW w:w="8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Phân loại TTBYT (A,B,C,D)</w:t>
            </w:r>
          </w:p>
        </w:tc>
        <w:tc>
          <w:tcPr>
            <w:tcW w:w="7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Phân nhóm theo TT 14/2020</w:t>
            </w:r>
          </w:p>
        </w:tc>
        <w:tc>
          <w:tcPr>
            <w:tcW w:w="3507" w:type="dxa"/>
            <w:gridSpan w:val="4"/>
            <w:tcBorders>
              <w:top w:val="single" w:sz="4" w:space="0" w:color="auto"/>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 xml:space="preserve"> Giá trúng thầu 12 tháng gần nhất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0484" w:rsidRPr="00230484" w:rsidRDefault="00230484" w:rsidP="00230484">
            <w:pPr>
              <w:jc w:val="center"/>
              <w:rPr>
                <w:b/>
                <w:bCs/>
                <w:color w:val="000000"/>
                <w:sz w:val="16"/>
                <w:szCs w:val="16"/>
              </w:rPr>
            </w:pPr>
            <w:r w:rsidRPr="00230484">
              <w:rPr>
                <w:b/>
                <w:bCs/>
                <w:color w:val="000000"/>
                <w:sz w:val="16"/>
                <w:szCs w:val="16"/>
              </w:rPr>
              <w:t>Ghi Chú</w:t>
            </w:r>
          </w:p>
        </w:tc>
      </w:tr>
      <w:tr w:rsidR="00230484" w:rsidRPr="00230484" w:rsidTr="00230484">
        <w:trPr>
          <w:trHeight w:val="1335"/>
        </w:trPr>
        <w:tc>
          <w:tcPr>
            <w:tcW w:w="695"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609"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623"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sz w:val="16"/>
                <w:szCs w:val="16"/>
              </w:rPr>
            </w:pPr>
          </w:p>
        </w:tc>
        <w:tc>
          <w:tcPr>
            <w:tcW w:w="951"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 xml:space="preserve"> Giá trúng thầu </w:t>
            </w:r>
          </w:p>
        </w:tc>
        <w:tc>
          <w:tcPr>
            <w:tcW w:w="951"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Số QĐ phê duyệt trúng thầu</w:t>
            </w:r>
          </w:p>
        </w:tc>
        <w:tc>
          <w:tcPr>
            <w:tcW w:w="951"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Ngày QĐ phê duyệt trúng thầu</w:t>
            </w:r>
          </w:p>
        </w:tc>
        <w:tc>
          <w:tcPr>
            <w:tcW w:w="654"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b/>
                <w:bCs/>
                <w:sz w:val="16"/>
                <w:szCs w:val="16"/>
              </w:rPr>
            </w:pPr>
            <w:r w:rsidRPr="00230484">
              <w:rPr>
                <w:b/>
                <w:bCs/>
                <w:sz w:val="16"/>
                <w:szCs w:val="16"/>
              </w:rPr>
              <w:t>Đơn vị ra quyết định</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30484" w:rsidRPr="00230484" w:rsidRDefault="00230484" w:rsidP="00230484">
            <w:pPr>
              <w:rPr>
                <w:b/>
                <w:bCs/>
                <w:color w:val="000000"/>
                <w:sz w:val="16"/>
                <w:szCs w:val="16"/>
              </w:rPr>
            </w:pPr>
          </w:p>
        </w:tc>
      </w:tr>
      <w:tr w:rsidR="00230484" w:rsidRPr="00230484" w:rsidTr="00230484">
        <w:trPr>
          <w:trHeight w:val="300"/>
        </w:trPr>
        <w:tc>
          <w:tcPr>
            <w:tcW w:w="695" w:type="dxa"/>
            <w:tcBorders>
              <w:top w:val="nil"/>
              <w:left w:val="single" w:sz="4" w:space="0" w:color="auto"/>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(1)</w:t>
            </w:r>
          </w:p>
        </w:tc>
        <w:tc>
          <w:tcPr>
            <w:tcW w:w="990"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(2)</w:t>
            </w:r>
          </w:p>
        </w:tc>
        <w:tc>
          <w:tcPr>
            <w:tcW w:w="583"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(3)</w:t>
            </w:r>
          </w:p>
        </w:tc>
        <w:tc>
          <w:tcPr>
            <w:tcW w:w="954"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(4)</w:t>
            </w:r>
          </w:p>
        </w:tc>
        <w:tc>
          <w:tcPr>
            <w:tcW w:w="747"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(5)</w:t>
            </w:r>
          </w:p>
        </w:tc>
        <w:tc>
          <w:tcPr>
            <w:tcW w:w="95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(6)</w:t>
            </w:r>
          </w:p>
        </w:tc>
        <w:tc>
          <w:tcPr>
            <w:tcW w:w="609"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(7)</w:t>
            </w:r>
          </w:p>
        </w:tc>
        <w:tc>
          <w:tcPr>
            <w:tcW w:w="623"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(8)</w:t>
            </w:r>
          </w:p>
        </w:tc>
        <w:tc>
          <w:tcPr>
            <w:tcW w:w="739"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(9)</w:t>
            </w:r>
          </w:p>
        </w:tc>
        <w:tc>
          <w:tcPr>
            <w:tcW w:w="779"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(10)</w:t>
            </w:r>
          </w:p>
        </w:tc>
        <w:tc>
          <w:tcPr>
            <w:tcW w:w="678"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(11)</w:t>
            </w:r>
          </w:p>
        </w:tc>
        <w:tc>
          <w:tcPr>
            <w:tcW w:w="724"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(12)</w:t>
            </w:r>
          </w:p>
        </w:tc>
        <w:tc>
          <w:tcPr>
            <w:tcW w:w="952"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(13)</w:t>
            </w:r>
          </w:p>
        </w:tc>
        <w:tc>
          <w:tcPr>
            <w:tcW w:w="896"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(14)</w:t>
            </w:r>
          </w:p>
        </w:tc>
        <w:tc>
          <w:tcPr>
            <w:tcW w:w="74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(15)</w:t>
            </w:r>
          </w:p>
        </w:tc>
        <w:tc>
          <w:tcPr>
            <w:tcW w:w="95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(16)</w:t>
            </w:r>
          </w:p>
        </w:tc>
        <w:tc>
          <w:tcPr>
            <w:tcW w:w="95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(17)</w:t>
            </w:r>
          </w:p>
        </w:tc>
        <w:tc>
          <w:tcPr>
            <w:tcW w:w="95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(18)</w:t>
            </w:r>
          </w:p>
        </w:tc>
        <w:tc>
          <w:tcPr>
            <w:tcW w:w="654"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(19)</w:t>
            </w:r>
          </w:p>
        </w:tc>
        <w:tc>
          <w:tcPr>
            <w:tcW w:w="708"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(20)</w:t>
            </w:r>
          </w:p>
        </w:tc>
      </w:tr>
      <w:tr w:rsidR="00230484" w:rsidRPr="00230484" w:rsidTr="00230484">
        <w:trPr>
          <w:trHeight w:val="300"/>
        </w:trPr>
        <w:tc>
          <w:tcPr>
            <w:tcW w:w="695" w:type="dxa"/>
            <w:tcBorders>
              <w:top w:val="nil"/>
              <w:left w:val="single" w:sz="4" w:space="0" w:color="auto"/>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1</w:t>
            </w:r>
          </w:p>
        </w:tc>
        <w:tc>
          <w:tcPr>
            <w:tcW w:w="990"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583" w:type="dxa"/>
            <w:tcBorders>
              <w:top w:val="nil"/>
              <w:left w:val="nil"/>
              <w:bottom w:val="single" w:sz="4" w:space="0" w:color="auto"/>
              <w:right w:val="single" w:sz="4" w:space="0" w:color="auto"/>
            </w:tcBorders>
            <w:shd w:val="clear" w:color="auto" w:fill="auto"/>
            <w:vAlign w:val="center"/>
            <w:hideMark/>
          </w:tcPr>
          <w:p w:rsidR="00230484" w:rsidRPr="00230484" w:rsidRDefault="00230484" w:rsidP="00230484">
            <w:pPr>
              <w:rPr>
                <w:sz w:val="16"/>
                <w:szCs w:val="16"/>
              </w:rPr>
            </w:pPr>
            <w:r w:rsidRPr="00230484">
              <w:rPr>
                <w:sz w:val="16"/>
                <w:szCs w:val="16"/>
              </w:rPr>
              <w:t> </w:t>
            </w:r>
          </w:p>
        </w:tc>
        <w:tc>
          <w:tcPr>
            <w:tcW w:w="954"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747"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609"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623"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739"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779"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678"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724"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952"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74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654"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rPr>
                <w:color w:val="000000"/>
                <w:sz w:val="16"/>
                <w:szCs w:val="16"/>
              </w:rPr>
            </w:pPr>
            <w:r w:rsidRPr="00230484">
              <w:rPr>
                <w:color w:val="000000"/>
                <w:sz w:val="16"/>
                <w:szCs w:val="16"/>
              </w:rPr>
              <w:t> </w:t>
            </w:r>
          </w:p>
        </w:tc>
      </w:tr>
      <w:tr w:rsidR="00230484" w:rsidRPr="00230484" w:rsidTr="00230484">
        <w:trPr>
          <w:trHeight w:val="300"/>
        </w:trPr>
        <w:tc>
          <w:tcPr>
            <w:tcW w:w="695" w:type="dxa"/>
            <w:tcBorders>
              <w:top w:val="nil"/>
              <w:left w:val="single" w:sz="4" w:space="0" w:color="auto"/>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2</w:t>
            </w:r>
          </w:p>
        </w:tc>
        <w:tc>
          <w:tcPr>
            <w:tcW w:w="990"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sz w:val="16"/>
                <w:szCs w:val="16"/>
              </w:rPr>
            </w:pPr>
            <w:r w:rsidRPr="00230484">
              <w:rPr>
                <w:sz w:val="16"/>
                <w:szCs w:val="16"/>
              </w:rPr>
              <w:t> </w:t>
            </w:r>
          </w:p>
        </w:tc>
        <w:tc>
          <w:tcPr>
            <w:tcW w:w="583"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rPr>
                <w:sz w:val="20"/>
                <w:szCs w:val="20"/>
              </w:rPr>
            </w:pPr>
            <w:r w:rsidRPr="00230484">
              <w:rPr>
                <w:sz w:val="20"/>
                <w:szCs w:val="20"/>
              </w:rPr>
              <w:t> </w:t>
            </w:r>
          </w:p>
        </w:tc>
        <w:tc>
          <w:tcPr>
            <w:tcW w:w="954"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rPr>
                <w:color w:val="000000"/>
                <w:sz w:val="20"/>
                <w:szCs w:val="20"/>
              </w:rPr>
            </w:pPr>
            <w:r w:rsidRPr="00230484">
              <w:rPr>
                <w:color w:val="000000"/>
                <w:sz w:val="20"/>
                <w:szCs w:val="20"/>
              </w:rPr>
              <w:t> </w:t>
            </w:r>
          </w:p>
        </w:tc>
        <w:tc>
          <w:tcPr>
            <w:tcW w:w="747"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rPr>
                <w:sz w:val="20"/>
                <w:szCs w:val="20"/>
              </w:rPr>
            </w:pPr>
            <w:r w:rsidRPr="00230484">
              <w:rPr>
                <w:sz w:val="20"/>
                <w:szCs w:val="20"/>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609"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20"/>
                <w:szCs w:val="20"/>
              </w:rPr>
            </w:pPr>
            <w:r w:rsidRPr="00230484">
              <w:rPr>
                <w:color w:val="000000"/>
                <w:sz w:val="20"/>
                <w:szCs w:val="20"/>
              </w:rPr>
              <w:t> </w:t>
            </w:r>
          </w:p>
        </w:tc>
        <w:tc>
          <w:tcPr>
            <w:tcW w:w="623"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sz w:val="20"/>
                <w:szCs w:val="20"/>
              </w:rPr>
            </w:pPr>
            <w:r w:rsidRPr="00230484">
              <w:rPr>
                <w:sz w:val="20"/>
                <w:szCs w:val="20"/>
              </w:rPr>
              <w:t> </w:t>
            </w:r>
          </w:p>
        </w:tc>
        <w:tc>
          <w:tcPr>
            <w:tcW w:w="739"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20"/>
                <w:szCs w:val="20"/>
              </w:rPr>
            </w:pPr>
            <w:r w:rsidRPr="00230484">
              <w:rPr>
                <w:color w:val="000000"/>
                <w:sz w:val="20"/>
                <w:szCs w:val="20"/>
              </w:rPr>
              <w:t> </w:t>
            </w:r>
          </w:p>
        </w:tc>
        <w:tc>
          <w:tcPr>
            <w:tcW w:w="779"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sz w:val="16"/>
                <w:szCs w:val="16"/>
              </w:rPr>
            </w:pPr>
            <w:r w:rsidRPr="00230484">
              <w:rPr>
                <w:sz w:val="16"/>
                <w:szCs w:val="16"/>
              </w:rPr>
              <w:t> </w:t>
            </w:r>
          </w:p>
        </w:tc>
        <w:tc>
          <w:tcPr>
            <w:tcW w:w="678"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724"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952"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sz w:val="16"/>
                <w:szCs w:val="16"/>
              </w:rPr>
            </w:pPr>
            <w:r w:rsidRPr="00230484">
              <w:rPr>
                <w:sz w:val="16"/>
                <w:szCs w:val="16"/>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74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654"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rPr>
                <w:color w:val="000000"/>
                <w:sz w:val="16"/>
                <w:szCs w:val="16"/>
              </w:rPr>
            </w:pPr>
            <w:r w:rsidRPr="00230484">
              <w:rPr>
                <w:color w:val="000000"/>
                <w:sz w:val="16"/>
                <w:szCs w:val="16"/>
              </w:rPr>
              <w:t> </w:t>
            </w:r>
          </w:p>
        </w:tc>
      </w:tr>
      <w:tr w:rsidR="00230484" w:rsidRPr="00230484" w:rsidTr="00230484">
        <w:trPr>
          <w:trHeight w:val="300"/>
        </w:trPr>
        <w:tc>
          <w:tcPr>
            <w:tcW w:w="695" w:type="dxa"/>
            <w:tcBorders>
              <w:top w:val="nil"/>
              <w:left w:val="single" w:sz="4" w:space="0" w:color="auto"/>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3</w:t>
            </w:r>
          </w:p>
        </w:tc>
        <w:tc>
          <w:tcPr>
            <w:tcW w:w="990"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sz w:val="16"/>
                <w:szCs w:val="16"/>
              </w:rPr>
            </w:pPr>
            <w:r w:rsidRPr="00230484">
              <w:rPr>
                <w:sz w:val="16"/>
                <w:szCs w:val="16"/>
              </w:rPr>
              <w:t> </w:t>
            </w:r>
          </w:p>
        </w:tc>
        <w:tc>
          <w:tcPr>
            <w:tcW w:w="583"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rPr>
                <w:sz w:val="20"/>
                <w:szCs w:val="20"/>
              </w:rPr>
            </w:pPr>
            <w:r w:rsidRPr="00230484">
              <w:rPr>
                <w:sz w:val="20"/>
                <w:szCs w:val="20"/>
              </w:rPr>
              <w:t> </w:t>
            </w:r>
          </w:p>
        </w:tc>
        <w:tc>
          <w:tcPr>
            <w:tcW w:w="954"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rPr>
                <w:color w:val="000000"/>
                <w:sz w:val="20"/>
                <w:szCs w:val="20"/>
              </w:rPr>
            </w:pPr>
            <w:r w:rsidRPr="00230484">
              <w:rPr>
                <w:color w:val="000000"/>
                <w:sz w:val="20"/>
                <w:szCs w:val="20"/>
              </w:rPr>
              <w:t> </w:t>
            </w:r>
          </w:p>
        </w:tc>
        <w:tc>
          <w:tcPr>
            <w:tcW w:w="747"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rPr>
                <w:sz w:val="20"/>
                <w:szCs w:val="20"/>
              </w:rPr>
            </w:pPr>
            <w:r w:rsidRPr="00230484">
              <w:rPr>
                <w:sz w:val="20"/>
                <w:szCs w:val="20"/>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609"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20"/>
                <w:szCs w:val="20"/>
              </w:rPr>
            </w:pPr>
            <w:r w:rsidRPr="00230484">
              <w:rPr>
                <w:color w:val="000000"/>
                <w:sz w:val="20"/>
                <w:szCs w:val="20"/>
              </w:rPr>
              <w:t> </w:t>
            </w:r>
          </w:p>
        </w:tc>
        <w:tc>
          <w:tcPr>
            <w:tcW w:w="623"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sz w:val="20"/>
                <w:szCs w:val="20"/>
              </w:rPr>
            </w:pPr>
            <w:r w:rsidRPr="00230484">
              <w:rPr>
                <w:sz w:val="20"/>
                <w:szCs w:val="20"/>
              </w:rPr>
              <w:t> </w:t>
            </w:r>
          </w:p>
        </w:tc>
        <w:tc>
          <w:tcPr>
            <w:tcW w:w="739"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20"/>
                <w:szCs w:val="20"/>
              </w:rPr>
            </w:pPr>
            <w:r w:rsidRPr="00230484">
              <w:rPr>
                <w:color w:val="000000"/>
                <w:sz w:val="20"/>
                <w:szCs w:val="20"/>
              </w:rPr>
              <w:t> </w:t>
            </w:r>
          </w:p>
        </w:tc>
        <w:tc>
          <w:tcPr>
            <w:tcW w:w="779"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sz w:val="16"/>
                <w:szCs w:val="16"/>
              </w:rPr>
            </w:pPr>
            <w:r w:rsidRPr="00230484">
              <w:rPr>
                <w:sz w:val="16"/>
                <w:szCs w:val="16"/>
              </w:rPr>
              <w:t> </w:t>
            </w:r>
          </w:p>
        </w:tc>
        <w:tc>
          <w:tcPr>
            <w:tcW w:w="678"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sz w:val="16"/>
                <w:szCs w:val="16"/>
              </w:rPr>
            </w:pPr>
            <w:r w:rsidRPr="00230484">
              <w:rPr>
                <w:sz w:val="16"/>
                <w:szCs w:val="16"/>
              </w:rPr>
              <w:t> </w:t>
            </w:r>
          </w:p>
        </w:tc>
        <w:tc>
          <w:tcPr>
            <w:tcW w:w="724"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sz w:val="16"/>
                <w:szCs w:val="16"/>
              </w:rPr>
            </w:pPr>
            <w:r w:rsidRPr="00230484">
              <w:rPr>
                <w:sz w:val="16"/>
                <w:szCs w:val="16"/>
              </w:rPr>
              <w:t> </w:t>
            </w:r>
          </w:p>
        </w:tc>
        <w:tc>
          <w:tcPr>
            <w:tcW w:w="952"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sz w:val="16"/>
                <w:szCs w:val="16"/>
              </w:rPr>
            </w:pPr>
            <w:r w:rsidRPr="00230484">
              <w:rPr>
                <w:sz w:val="16"/>
                <w:szCs w:val="16"/>
              </w:rPr>
              <w:t> </w:t>
            </w:r>
          </w:p>
        </w:tc>
        <w:tc>
          <w:tcPr>
            <w:tcW w:w="896"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74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654" w:type="dxa"/>
            <w:tcBorders>
              <w:top w:val="nil"/>
              <w:left w:val="nil"/>
              <w:bottom w:val="single" w:sz="4" w:space="0" w:color="auto"/>
              <w:right w:val="single" w:sz="4" w:space="0" w:color="auto"/>
            </w:tcBorders>
            <w:shd w:val="clear" w:color="000000" w:fill="FFFFFF"/>
            <w:vAlign w:val="center"/>
            <w:hideMark/>
          </w:tcPr>
          <w:p w:rsidR="00230484" w:rsidRPr="00230484" w:rsidRDefault="00230484" w:rsidP="00230484">
            <w:pPr>
              <w:jc w:val="center"/>
              <w:rPr>
                <w:color w:val="000000"/>
                <w:sz w:val="16"/>
                <w:szCs w:val="16"/>
              </w:rPr>
            </w:pPr>
            <w:r w:rsidRPr="00230484">
              <w:rPr>
                <w:color w:val="000000"/>
                <w:sz w:val="16"/>
                <w:szCs w:val="16"/>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230484" w:rsidRPr="00230484" w:rsidRDefault="00230484" w:rsidP="00230484">
            <w:pPr>
              <w:rPr>
                <w:color w:val="000000"/>
                <w:sz w:val="16"/>
                <w:szCs w:val="16"/>
              </w:rPr>
            </w:pPr>
            <w:r w:rsidRPr="00230484">
              <w:rPr>
                <w:color w:val="000000"/>
                <w:sz w:val="16"/>
                <w:szCs w:val="16"/>
              </w:rPr>
              <w:t> </w:t>
            </w:r>
          </w:p>
        </w:tc>
      </w:tr>
    </w:tbl>
    <w:p w:rsidR="00835E88" w:rsidRPr="00835E88" w:rsidRDefault="00835E88" w:rsidP="00835E88">
      <w:pPr>
        <w:tabs>
          <w:tab w:val="left" w:pos="12474"/>
        </w:tabs>
        <w:spacing w:before="120" w:line="360" w:lineRule="auto"/>
        <w:rPr>
          <w:sz w:val="28"/>
          <w:szCs w:val="28"/>
        </w:rPr>
      </w:pPr>
      <w:r w:rsidRPr="00835E88">
        <w:rPr>
          <w:sz w:val="28"/>
          <w:szCs w:val="28"/>
        </w:rPr>
        <w:t xml:space="preserve">Ghi chú: </w:t>
      </w:r>
    </w:p>
    <w:p w:rsidR="00835E88" w:rsidRPr="00835E88" w:rsidRDefault="00835E88" w:rsidP="00835E88">
      <w:pPr>
        <w:tabs>
          <w:tab w:val="left" w:pos="12474"/>
        </w:tabs>
        <w:spacing w:line="312" w:lineRule="auto"/>
        <w:rPr>
          <w:sz w:val="28"/>
          <w:szCs w:val="28"/>
        </w:rPr>
      </w:pPr>
      <w:r w:rsidRPr="00835E88">
        <w:rPr>
          <w:sz w:val="28"/>
          <w:szCs w:val="28"/>
        </w:rPr>
        <w:t>(09) là giá trọn gói bao gồm các loại thuê, phí, bảo hiểm, vận chuyển, giao hàng tại kho Bệnh viện. Gía trúng thầu ưu tiên tham khảo giá đã được công khai trên cổng thông tin của Bộ Y tế.</w:t>
      </w:r>
    </w:p>
    <w:p w:rsidR="00835E88" w:rsidRDefault="00835E88" w:rsidP="00835E88">
      <w:pPr>
        <w:tabs>
          <w:tab w:val="left" w:pos="12474"/>
        </w:tabs>
        <w:spacing w:line="312" w:lineRule="auto"/>
        <w:rPr>
          <w:sz w:val="28"/>
          <w:szCs w:val="28"/>
        </w:rPr>
      </w:pPr>
      <w:r w:rsidRPr="00835E88">
        <w:rPr>
          <w:sz w:val="28"/>
          <w:szCs w:val="28"/>
        </w:rPr>
        <w:t>Báo giá này có hiệu lực………………kể từ ngày ký</w:t>
      </w:r>
    </w:p>
    <w:tbl>
      <w:tblPr>
        <w:tblStyle w:val="TableGrid"/>
        <w:tblW w:w="15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7281"/>
      </w:tblGrid>
      <w:tr w:rsidR="00835E88" w:rsidTr="00835E88">
        <w:tc>
          <w:tcPr>
            <w:tcW w:w="8647" w:type="dxa"/>
          </w:tcPr>
          <w:p w:rsidR="00835E88" w:rsidRDefault="00835E88" w:rsidP="00230484">
            <w:pPr>
              <w:spacing w:line="360" w:lineRule="auto"/>
              <w:jc w:val="center"/>
              <w:rPr>
                <w:sz w:val="28"/>
                <w:szCs w:val="28"/>
              </w:rPr>
            </w:pPr>
          </w:p>
        </w:tc>
        <w:tc>
          <w:tcPr>
            <w:tcW w:w="7281" w:type="dxa"/>
          </w:tcPr>
          <w:p w:rsidR="00835E88" w:rsidRDefault="00835E88" w:rsidP="00835E88">
            <w:pPr>
              <w:tabs>
                <w:tab w:val="left" w:pos="12474"/>
              </w:tabs>
              <w:spacing w:line="312" w:lineRule="auto"/>
              <w:jc w:val="center"/>
              <w:rPr>
                <w:sz w:val="28"/>
                <w:szCs w:val="28"/>
              </w:rPr>
            </w:pPr>
            <w:r>
              <w:rPr>
                <w:sz w:val="28"/>
                <w:szCs w:val="28"/>
              </w:rPr>
              <w:t>Ngày…</w:t>
            </w:r>
            <w:proofErr w:type="gramStart"/>
            <w:r>
              <w:rPr>
                <w:sz w:val="28"/>
                <w:szCs w:val="28"/>
              </w:rPr>
              <w:t>…..</w:t>
            </w:r>
            <w:proofErr w:type="gramEnd"/>
            <w:r>
              <w:rPr>
                <w:sz w:val="28"/>
                <w:szCs w:val="28"/>
              </w:rPr>
              <w:t>tháng……..năm……..</w:t>
            </w:r>
          </w:p>
          <w:p w:rsidR="00835E88" w:rsidRDefault="00835E88" w:rsidP="00835E88">
            <w:pPr>
              <w:tabs>
                <w:tab w:val="left" w:pos="12474"/>
              </w:tabs>
              <w:spacing w:line="312" w:lineRule="auto"/>
              <w:jc w:val="center"/>
              <w:rPr>
                <w:sz w:val="28"/>
                <w:szCs w:val="28"/>
              </w:rPr>
            </w:pPr>
            <w:r>
              <w:rPr>
                <w:sz w:val="28"/>
                <w:szCs w:val="28"/>
              </w:rPr>
              <w:t>Đại diện hợp pháp của đơn vị báo giá</w:t>
            </w:r>
          </w:p>
          <w:p w:rsidR="00835E88" w:rsidRDefault="00835E88" w:rsidP="00835E88">
            <w:pPr>
              <w:tabs>
                <w:tab w:val="left" w:pos="12474"/>
              </w:tabs>
              <w:spacing w:line="312" w:lineRule="auto"/>
              <w:jc w:val="center"/>
              <w:rPr>
                <w:sz w:val="28"/>
                <w:szCs w:val="28"/>
              </w:rPr>
            </w:pPr>
            <w:r w:rsidRPr="00835E88">
              <w:rPr>
                <w:sz w:val="28"/>
                <w:szCs w:val="28"/>
              </w:rPr>
              <w:t>[ghi tên, chức danh, ký tên và đóng dấu]</w:t>
            </w:r>
          </w:p>
          <w:p w:rsidR="00835E88" w:rsidRDefault="00835E88" w:rsidP="00230484">
            <w:pPr>
              <w:spacing w:line="360" w:lineRule="auto"/>
              <w:jc w:val="center"/>
              <w:rPr>
                <w:sz w:val="28"/>
                <w:szCs w:val="28"/>
              </w:rPr>
            </w:pPr>
          </w:p>
        </w:tc>
      </w:tr>
    </w:tbl>
    <w:p w:rsidR="00230484" w:rsidRPr="00230484" w:rsidRDefault="00230484" w:rsidP="00835E88">
      <w:pPr>
        <w:spacing w:line="360" w:lineRule="auto"/>
        <w:rPr>
          <w:sz w:val="28"/>
          <w:szCs w:val="28"/>
        </w:rPr>
      </w:pPr>
    </w:p>
    <w:sectPr w:rsidR="00230484" w:rsidRPr="00230484" w:rsidSect="00230484">
      <w:pgSz w:w="16840" w:h="11907" w:orient="landscape" w:code="9"/>
      <w:pgMar w:top="170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A9641E"/>
    <w:multiLevelType w:val="hybridMultilevel"/>
    <w:tmpl w:val="4BEE690E"/>
    <w:lvl w:ilvl="0" w:tplc="3C1EAB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C4"/>
    <w:rsid w:val="000860F0"/>
    <w:rsid w:val="000C0860"/>
    <w:rsid w:val="000C267D"/>
    <w:rsid w:val="00106188"/>
    <w:rsid w:val="00117E20"/>
    <w:rsid w:val="00124637"/>
    <w:rsid w:val="001431EB"/>
    <w:rsid w:val="0015710E"/>
    <w:rsid w:val="001C0BEA"/>
    <w:rsid w:val="001E1BC6"/>
    <w:rsid w:val="001E70F4"/>
    <w:rsid w:val="0020193C"/>
    <w:rsid w:val="00206CF5"/>
    <w:rsid w:val="0022693F"/>
    <w:rsid w:val="00230484"/>
    <w:rsid w:val="002A14B5"/>
    <w:rsid w:val="002B673C"/>
    <w:rsid w:val="002C03D4"/>
    <w:rsid w:val="002C1F43"/>
    <w:rsid w:val="002F4D5D"/>
    <w:rsid w:val="00306375"/>
    <w:rsid w:val="00346BD0"/>
    <w:rsid w:val="00355D9C"/>
    <w:rsid w:val="003716B8"/>
    <w:rsid w:val="003836D2"/>
    <w:rsid w:val="003851DC"/>
    <w:rsid w:val="003D66ED"/>
    <w:rsid w:val="003F35F0"/>
    <w:rsid w:val="00401C5D"/>
    <w:rsid w:val="00423883"/>
    <w:rsid w:val="00432157"/>
    <w:rsid w:val="00433113"/>
    <w:rsid w:val="00437A16"/>
    <w:rsid w:val="00483B0E"/>
    <w:rsid w:val="0052404E"/>
    <w:rsid w:val="00592288"/>
    <w:rsid w:val="005A2CC8"/>
    <w:rsid w:val="005C5025"/>
    <w:rsid w:val="006038DC"/>
    <w:rsid w:val="006222DA"/>
    <w:rsid w:val="00655EBE"/>
    <w:rsid w:val="00670E84"/>
    <w:rsid w:val="006B4228"/>
    <w:rsid w:val="006C0DC7"/>
    <w:rsid w:val="007055AB"/>
    <w:rsid w:val="00712F6D"/>
    <w:rsid w:val="007260B1"/>
    <w:rsid w:val="00726D9A"/>
    <w:rsid w:val="00754C98"/>
    <w:rsid w:val="00757F32"/>
    <w:rsid w:val="007863AA"/>
    <w:rsid w:val="007A6A3E"/>
    <w:rsid w:val="007B51F4"/>
    <w:rsid w:val="008049A3"/>
    <w:rsid w:val="0082461A"/>
    <w:rsid w:val="00835E88"/>
    <w:rsid w:val="00870708"/>
    <w:rsid w:val="008D0524"/>
    <w:rsid w:val="008E6245"/>
    <w:rsid w:val="00987752"/>
    <w:rsid w:val="009A6400"/>
    <w:rsid w:val="009E196E"/>
    <w:rsid w:val="009F2BC4"/>
    <w:rsid w:val="009F772C"/>
    <w:rsid w:val="00A36BBE"/>
    <w:rsid w:val="00A53FDE"/>
    <w:rsid w:val="00A62CD6"/>
    <w:rsid w:val="00A6486E"/>
    <w:rsid w:val="00A81FB4"/>
    <w:rsid w:val="00AB3D35"/>
    <w:rsid w:val="00AB7A60"/>
    <w:rsid w:val="00AC38BF"/>
    <w:rsid w:val="00AF44EF"/>
    <w:rsid w:val="00AF64E0"/>
    <w:rsid w:val="00B37464"/>
    <w:rsid w:val="00B44AD6"/>
    <w:rsid w:val="00B51BD9"/>
    <w:rsid w:val="00B57B8E"/>
    <w:rsid w:val="00BC74F9"/>
    <w:rsid w:val="00BE1F0E"/>
    <w:rsid w:val="00C06C96"/>
    <w:rsid w:val="00C73335"/>
    <w:rsid w:val="00C73E2A"/>
    <w:rsid w:val="00C80A06"/>
    <w:rsid w:val="00C92905"/>
    <w:rsid w:val="00CD1543"/>
    <w:rsid w:val="00D0439C"/>
    <w:rsid w:val="00D06CA2"/>
    <w:rsid w:val="00D10CF5"/>
    <w:rsid w:val="00D56BB5"/>
    <w:rsid w:val="00D77A0D"/>
    <w:rsid w:val="00D86683"/>
    <w:rsid w:val="00D9618E"/>
    <w:rsid w:val="00D97224"/>
    <w:rsid w:val="00DA03C5"/>
    <w:rsid w:val="00DA366E"/>
    <w:rsid w:val="00DB3B75"/>
    <w:rsid w:val="00DD17C9"/>
    <w:rsid w:val="00DE3980"/>
    <w:rsid w:val="00E016E7"/>
    <w:rsid w:val="00E33740"/>
    <w:rsid w:val="00E458A1"/>
    <w:rsid w:val="00E4627B"/>
    <w:rsid w:val="00E60FF3"/>
    <w:rsid w:val="00E67710"/>
    <w:rsid w:val="00EB6BE2"/>
    <w:rsid w:val="00EC5C21"/>
    <w:rsid w:val="00EC7622"/>
    <w:rsid w:val="00F165E6"/>
    <w:rsid w:val="00F343B9"/>
    <w:rsid w:val="00F41330"/>
    <w:rsid w:val="00F506EF"/>
    <w:rsid w:val="00F650A6"/>
    <w:rsid w:val="00F82249"/>
    <w:rsid w:val="00F83A73"/>
    <w:rsid w:val="00FA55EB"/>
    <w:rsid w:val="00FA5EE8"/>
    <w:rsid w:val="00FB0004"/>
    <w:rsid w:val="00FD372E"/>
    <w:rsid w:val="00FE626D"/>
    <w:rsid w:val="00FE7766"/>
    <w:rsid w:val="00FF196C"/>
    <w:rsid w:val="00FF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DD9EC-A267-4798-90D3-B8B41AAC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B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C21"/>
    <w:pPr>
      <w:ind w:left="720"/>
      <w:contextualSpacing/>
    </w:pPr>
  </w:style>
  <w:style w:type="character" w:styleId="CommentReference">
    <w:name w:val="annotation reference"/>
    <w:basedOn w:val="DefaultParagraphFont"/>
    <w:uiPriority w:val="99"/>
    <w:semiHidden/>
    <w:unhideWhenUsed/>
    <w:rsid w:val="00433113"/>
    <w:rPr>
      <w:sz w:val="16"/>
      <w:szCs w:val="16"/>
    </w:rPr>
  </w:style>
  <w:style w:type="paragraph" w:styleId="CommentText">
    <w:name w:val="annotation text"/>
    <w:basedOn w:val="Normal"/>
    <w:link w:val="CommentTextChar"/>
    <w:uiPriority w:val="99"/>
    <w:semiHidden/>
    <w:unhideWhenUsed/>
    <w:rsid w:val="00433113"/>
    <w:rPr>
      <w:sz w:val="20"/>
      <w:szCs w:val="20"/>
    </w:rPr>
  </w:style>
  <w:style w:type="character" w:customStyle="1" w:styleId="CommentTextChar">
    <w:name w:val="Comment Text Char"/>
    <w:basedOn w:val="DefaultParagraphFont"/>
    <w:link w:val="CommentText"/>
    <w:uiPriority w:val="99"/>
    <w:semiHidden/>
    <w:rsid w:val="004331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3113"/>
    <w:rPr>
      <w:b/>
      <w:bCs/>
    </w:rPr>
  </w:style>
  <w:style w:type="character" w:customStyle="1" w:styleId="CommentSubjectChar">
    <w:name w:val="Comment Subject Char"/>
    <w:basedOn w:val="CommentTextChar"/>
    <w:link w:val="CommentSubject"/>
    <w:uiPriority w:val="99"/>
    <w:semiHidden/>
    <w:rsid w:val="004331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33113"/>
    <w:rPr>
      <w:rFonts w:ascii="Tahoma" w:hAnsi="Tahoma" w:cs="Tahoma"/>
      <w:sz w:val="16"/>
      <w:szCs w:val="16"/>
    </w:rPr>
  </w:style>
  <w:style w:type="character" w:customStyle="1" w:styleId="BalloonTextChar">
    <w:name w:val="Balloon Text Char"/>
    <w:basedOn w:val="DefaultParagraphFont"/>
    <w:link w:val="BalloonText"/>
    <w:uiPriority w:val="99"/>
    <w:semiHidden/>
    <w:rsid w:val="00433113"/>
    <w:rPr>
      <w:rFonts w:ascii="Tahoma" w:eastAsia="Times New Roman" w:hAnsi="Tahoma" w:cs="Tahoma"/>
      <w:sz w:val="16"/>
      <w:szCs w:val="16"/>
    </w:rPr>
  </w:style>
  <w:style w:type="table" w:styleId="TableGrid">
    <w:name w:val="Table Grid"/>
    <w:basedOn w:val="TableNormal"/>
    <w:uiPriority w:val="59"/>
    <w:rsid w:val="0083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69769">
      <w:bodyDiv w:val="1"/>
      <w:marLeft w:val="0"/>
      <w:marRight w:val="0"/>
      <w:marTop w:val="0"/>
      <w:marBottom w:val="0"/>
      <w:divBdr>
        <w:top w:val="none" w:sz="0" w:space="0" w:color="auto"/>
        <w:left w:val="none" w:sz="0" w:space="0" w:color="auto"/>
        <w:bottom w:val="none" w:sz="0" w:space="0" w:color="auto"/>
        <w:right w:val="none" w:sz="0" w:space="0" w:color="auto"/>
      </w:divBdr>
    </w:div>
    <w:div w:id="1221672652">
      <w:bodyDiv w:val="1"/>
      <w:marLeft w:val="0"/>
      <w:marRight w:val="0"/>
      <w:marTop w:val="0"/>
      <w:marBottom w:val="0"/>
      <w:divBdr>
        <w:top w:val="none" w:sz="0" w:space="0" w:color="auto"/>
        <w:left w:val="none" w:sz="0" w:space="0" w:color="auto"/>
        <w:bottom w:val="none" w:sz="0" w:space="0" w:color="auto"/>
        <w:right w:val="none" w:sz="0" w:space="0" w:color="auto"/>
      </w:divBdr>
    </w:div>
    <w:div w:id="139520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D0D17-63C4-442C-9098-81996791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DUOC-NHUNG</dc:creator>
  <cp:lastModifiedBy>User</cp:lastModifiedBy>
  <cp:revision>19</cp:revision>
  <cp:lastPrinted>2022-05-16T01:42:00Z</cp:lastPrinted>
  <dcterms:created xsi:type="dcterms:W3CDTF">2022-02-10T01:54:00Z</dcterms:created>
  <dcterms:modified xsi:type="dcterms:W3CDTF">2022-05-18T05:08:00Z</dcterms:modified>
</cp:coreProperties>
</file>